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B3" w:rsidRDefault="00C20226" w:rsidP="006C3EB3">
      <w:pPr>
        <w:jc w:val="center"/>
        <w:rPr>
          <w:b/>
          <w:i/>
          <w:sz w:val="22"/>
          <w:szCs w:val="22"/>
          <w:lang w:val="en-US"/>
        </w:rPr>
      </w:pPr>
      <w:r w:rsidRPr="00C20226">
        <w:rPr>
          <w:b/>
          <w:i/>
          <w:sz w:val="22"/>
          <w:szCs w:val="22"/>
          <w:lang w:val="en-US"/>
        </w:rPr>
        <w:drawing>
          <wp:inline distT="0" distB="0" distL="0" distR="0">
            <wp:extent cx="3467100" cy="953452"/>
            <wp:effectExtent l="19050" t="0" r="0" b="0"/>
            <wp:docPr id="2"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jpg"/>
                    <pic:cNvPicPr/>
                  </pic:nvPicPr>
                  <pic:blipFill>
                    <a:blip r:embed="rId6" cstate="print"/>
                    <a:stretch>
                      <a:fillRect/>
                    </a:stretch>
                  </pic:blipFill>
                  <pic:spPr>
                    <a:xfrm>
                      <a:off x="0" y="0"/>
                      <a:ext cx="3520440" cy="968120"/>
                    </a:xfrm>
                    <a:prstGeom prst="rect">
                      <a:avLst/>
                    </a:prstGeom>
                  </pic:spPr>
                </pic:pic>
              </a:graphicData>
            </a:graphic>
          </wp:inline>
        </w:drawing>
      </w:r>
    </w:p>
    <w:p w:rsidR="006C3EB3" w:rsidRPr="00C6334F" w:rsidRDefault="006C3EB3" w:rsidP="006C3EB3">
      <w:pPr>
        <w:jc w:val="center"/>
        <w:rPr>
          <w:b/>
          <w:color w:val="0070C0"/>
          <w:sz w:val="36"/>
          <w:szCs w:val="36"/>
          <w:lang w:val="en-US"/>
        </w:rPr>
      </w:pPr>
      <w:r w:rsidRPr="00C6334F">
        <w:rPr>
          <w:b/>
          <w:color w:val="0070C0"/>
          <w:sz w:val="36"/>
          <w:szCs w:val="36"/>
          <w:lang w:val="en-US"/>
        </w:rPr>
        <w:t>BOARD OF VARIANCE</w:t>
      </w:r>
    </w:p>
    <w:p w:rsidR="006C3EB3" w:rsidRPr="00776A82" w:rsidRDefault="006C3EB3" w:rsidP="006C3EB3">
      <w:pPr>
        <w:jc w:val="center"/>
        <w:rPr>
          <w:b/>
          <w:sz w:val="16"/>
          <w:szCs w:val="16"/>
          <w:lang w:val="en-US"/>
        </w:rPr>
      </w:pPr>
    </w:p>
    <w:p w:rsidR="006C3EB3" w:rsidRPr="00C6334F" w:rsidRDefault="006C3EB3" w:rsidP="006C3EB3">
      <w:pPr>
        <w:jc w:val="center"/>
        <w:rPr>
          <w:b/>
          <w:sz w:val="28"/>
          <w:szCs w:val="28"/>
          <w:lang w:val="en-US"/>
        </w:rPr>
      </w:pPr>
      <w:r w:rsidRPr="00C6334F">
        <w:rPr>
          <w:b/>
          <w:sz w:val="28"/>
          <w:szCs w:val="28"/>
          <w:lang w:val="en-US"/>
        </w:rPr>
        <w:t>NOTICE OF MEETING</w:t>
      </w:r>
    </w:p>
    <w:p w:rsidR="006C3EB3" w:rsidRPr="00776A82" w:rsidRDefault="006C3EB3" w:rsidP="006C3EB3">
      <w:pPr>
        <w:jc w:val="center"/>
        <w:rPr>
          <w:b/>
          <w:i/>
          <w:sz w:val="16"/>
          <w:szCs w:val="16"/>
          <w:lang w:val="en-US"/>
        </w:rPr>
      </w:pPr>
    </w:p>
    <w:p w:rsidR="006C3EB3" w:rsidRPr="00776A82" w:rsidRDefault="006C3EB3" w:rsidP="006C3EB3">
      <w:pPr>
        <w:pBdr>
          <w:top w:val="single" w:sz="4" w:space="1" w:color="auto"/>
        </w:pBdr>
        <w:rPr>
          <w:sz w:val="16"/>
          <w:szCs w:val="16"/>
          <w:lang w:val="en-US"/>
        </w:rPr>
      </w:pPr>
    </w:p>
    <w:p w:rsidR="006C3EB3" w:rsidRPr="00A857D5" w:rsidRDefault="006C3EB3" w:rsidP="006C3EB3">
      <w:pPr>
        <w:jc w:val="both"/>
        <w:rPr>
          <w:sz w:val="22"/>
          <w:szCs w:val="22"/>
          <w:lang w:val="en-US"/>
        </w:rPr>
      </w:pPr>
      <w:r w:rsidRPr="00A857D5">
        <w:rPr>
          <w:sz w:val="22"/>
          <w:szCs w:val="22"/>
          <w:lang w:val="en-US"/>
        </w:rPr>
        <w:t xml:space="preserve">A meeting of the Board of Variance will be held on Thursday, </w:t>
      </w:r>
      <w:r w:rsidR="00131F5D" w:rsidRPr="00A857D5">
        <w:rPr>
          <w:sz w:val="22"/>
          <w:szCs w:val="22"/>
          <w:lang w:val="en-US"/>
        </w:rPr>
        <w:fldChar w:fldCharType="begin"/>
      </w:r>
      <w:r w:rsidRPr="00A857D5">
        <w:rPr>
          <w:sz w:val="22"/>
          <w:szCs w:val="22"/>
          <w:lang w:val="en-US"/>
        </w:rPr>
        <w:instrText xml:space="preserve"> FILLIN "insert date of meeting (e.g. June 18, 2009)" </w:instrText>
      </w:r>
      <w:r w:rsidR="00131F5D" w:rsidRPr="00A857D5">
        <w:rPr>
          <w:sz w:val="22"/>
          <w:szCs w:val="22"/>
          <w:lang w:val="en-US"/>
        </w:rPr>
        <w:fldChar w:fldCharType="end"/>
      </w:r>
      <w:r w:rsidRPr="00A857D5">
        <w:rPr>
          <w:sz w:val="22"/>
          <w:szCs w:val="22"/>
          <w:lang w:val="en-US"/>
        </w:rPr>
        <w:t xml:space="preserve"> 2013-</w:t>
      </w:r>
      <w:r w:rsidR="00450A9C" w:rsidRPr="00A857D5">
        <w:rPr>
          <w:sz w:val="22"/>
          <w:szCs w:val="22"/>
          <w:lang w:val="en-US"/>
        </w:rPr>
        <w:t>JU</w:t>
      </w:r>
      <w:r w:rsidR="00341A2F">
        <w:rPr>
          <w:sz w:val="22"/>
          <w:szCs w:val="22"/>
          <w:lang w:val="en-US"/>
        </w:rPr>
        <w:t>L</w:t>
      </w:r>
      <w:r w:rsidR="00450A9C" w:rsidRPr="00A857D5">
        <w:rPr>
          <w:sz w:val="22"/>
          <w:szCs w:val="22"/>
          <w:lang w:val="en-US"/>
        </w:rPr>
        <w:t>-</w:t>
      </w:r>
      <w:r w:rsidR="00341A2F">
        <w:rPr>
          <w:sz w:val="22"/>
          <w:szCs w:val="22"/>
          <w:lang w:val="en-US"/>
        </w:rPr>
        <w:t>18</w:t>
      </w:r>
      <w:r w:rsidRPr="00A857D5">
        <w:rPr>
          <w:sz w:val="22"/>
          <w:szCs w:val="22"/>
          <w:lang w:val="en-US"/>
        </w:rPr>
        <w:t xml:space="preserve">  at 5:30pm in the Boardroom, Service and Resource Centre, 411 Dunsmuir Street, Nanaimo, BC to hear the following appeal:</w:t>
      </w:r>
    </w:p>
    <w:p w:rsidR="006C3EB3" w:rsidRPr="00776A82" w:rsidRDefault="006C3EB3" w:rsidP="006C3EB3">
      <w:pPr>
        <w:tabs>
          <w:tab w:val="left" w:pos="2160"/>
          <w:tab w:val="left" w:pos="3600"/>
        </w:tabs>
        <w:jc w:val="both"/>
        <w:rPr>
          <w:b/>
          <w:color w:val="0070C0"/>
          <w:sz w:val="16"/>
          <w:szCs w:val="16"/>
          <w:lang w:val="en-US"/>
        </w:rPr>
      </w:pPr>
    </w:p>
    <w:p w:rsidR="006C3EB3" w:rsidRPr="00A857D5" w:rsidRDefault="00C35350" w:rsidP="006C3EB3">
      <w:pPr>
        <w:tabs>
          <w:tab w:val="left" w:pos="2700"/>
        </w:tabs>
        <w:jc w:val="both"/>
        <w:rPr>
          <w:b/>
          <w:color w:val="0070C0"/>
          <w:sz w:val="22"/>
          <w:szCs w:val="22"/>
          <w:lang w:val="en-US"/>
        </w:rPr>
      </w:pPr>
      <w:r w:rsidRPr="00A857D5">
        <w:rPr>
          <w:b/>
          <w:color w:val="0070C0"/>
          <w:sz w:val="22"/>
          <w:szCs w:val="22"/>
          <w:lang w:val="en-US"/>
        </w:rPr>
        <w:t>APPEAL NO</w:t>
      </w:r>
      <w:r w:rsidR="006C3EB3" w:rsidRPr="00A857D5">
        <w:rPr>
          <w:b/>
          <w:color w:val="0070C0"/>
          <w:sz w:val="22"/>
          <w:szCs w:val="22"/>
          <w:lang w:val="en-US"/>
        </w:rPr>
        <w:t>:</w:t>
      </w:r>
      <w:r w:rsidR="006C3EB3" w:rsidRPr="00A857D5">
        <w:rPr>
          <w:b/>
          <w:color w:val="0070C0"/>
          <w:sz w:val="22"/>
          <w:szCs w:val="22"/>
          <w:lang w:val="en-US"/>
        </w:rPr>
        <w:tab/>
        <w:t>BOV62</w:t>
      </w:r>
      <w:r w:rsidR="00341A2F">
        <w:rPr>
          <w:b/>
          <w:color w:val="0070C0"/>
          <w:sz w:val="22"/>
          <w:szCs w:val="22"/>
          <w:lang w:val="en-US"/>
        </w:rPr>
        <w:t>7</w:t>
      </w:r>
    </w:p>
    <w:p w:rsidR="006C3EB3" w:rsidRPr="00776A82" w:rsidRDefault="006C3EB3" w:rsidP="006C3EB3">
      <w:pPr>
        <w:jc w:val="both"/>
        <w:rPr>
          <w:b/>
          <w:sz w:val="16"/>
          <w:szCs w:val="16"/>
          <w:lang w:val="en-US"/>
        </w:rPr>
      </w:pPr>
    </w:p>
    <w:p w:rsidR="006C3EB3" w:rsidRPr="00A857D5" w:rsidRDefault="006C3EB3" w:rsidP="006C3EB3">
      <w:pPr>
        <w:tabs>
          <w:tab w:val="left" w:pos="2700"/>
        </w:tabs>
        <w:ind w:left="2700" w:hanging="2700"/>
        <w:jc w:val="both"/>
        <w:rPr>
          <w:sz w:val="22"/>
          <w:szCs w:val="22"/>
          <w:lang w:val="en-US"/>
        </w:rPr>
      </w:pPr>
      <w:r w:rsidRPr="00A857D5">
        <w:rPr>
          <w:b/>
          <w:sz w:val="22"/>
          <w:szCs w:val="22"/>
          <w:lang w:val="en-US"/>
        </w:rPr>
        <w:t>Applicant:</w:t>
      </w:r>
      <w:r w:rsidRPr="00A857D5">
        <w:rPr>
          <w:b/>
          <w:sz w:val="22"/>
          <w:szCs w:val="22"/>
          <w:lang w:val="en-US"/>
        </w:rPr>
        <w:tab/>
      </w:r>
      <w:r w:rsidR="00DE2DAC">
        <w:rPr>
          <w:sz w:val="22"/>
          <w:szCs w:val="22"/>
          <w:lang w:val="en-US"/>
        </w:rPr>
        <w:t xml:space="preserve">Mr. </w:t>
      </w:r>
      <w:r w:rsidR="00341A2F">
        <w:rPr>
          <w:sz w:val="22"/>
          <w:szCs w:val="22"/>
          <w:lang w:val="en-US"/>
        </w:rPr>
        <w:t>Jeff Windley of Windley Contracting (2010) Ltd.</w:t>
      </w:r>
      <w:r w:rsidR="00C20226">
        <w:rPr>
          <w:sz w:val="22"/>
          <w:szCs w:val="22"/>
          <w:lang w:val="en-US"/>
        </w:rPr>
        <w:t xml:space="preserve"> on behalf of Mr. Scott Lewis and Ms. Leanne Lewis</w:t>
      </w:r>
    </w:p>
    <w:p w:rsidR="006C3EB3" w:rsidRPr="00776A82" w:rsidRDefault="006C3EB3" w:rsidP="006C3EB3">
      <w:pPr>
        <w:jc w:val="both"/>
        <w:rPr>
          <w:color w:val="000000"/>
          <w:sz w:val="16"/>
          <w:szCs w:val="16"/>
        </w:rPr>
      </w:pPr>
    </w:p>
    <w:p w:rsidR="006C3EB3" w:rsidRPr="00A857D5" w:rsidRDefault="006C3EB3" w:rsidP="006C3EB3">
      <w:pPr>
        <w:tabs>
          <w:tab w:val="left" w:pos="1440"/>
          <w:tab w:val="left" w:pos="2160"/>
          <w:tab w:val="left" w:pos="2700"/>
          <w:tab w:val="left" w:pos="3600"/>
        </w:tabs>
        <w:jc w:val="both"/>
        <w:rPr>
          <w:sz w:val="22"/>
          <w:szCs w:val="22"/>
          <w:lang w:val="en-US"/>
        </w:rPr>
      </w:pPr>
      <w:r w:rsidRPr="00A857D5">
        <w:rPr>
          <w:b/>
          <w:sz w:val="22"/>
          <w:szCs w:val="22"/>
          <w:lang w:val="en-US"/>
        </w:rPr>
        <w:t xml:space="preserve">Civic </w:t>
      </w:r>
      <w:r w:rsidR="00C6334F" w:rsidRPr="00A857D5">
        <w:rPr>
          <w:b/>
          <w:sz w:val="22"/>
          <w:szCs w:val="22"/>
          <w:lang w:val="en-US"/>
        </w:rPr>
        <w:t>A</w:t>
      </w:r>
      <w:r w:rsidRPr="00A857D5">
        <w:rPr>
          <w:b/>
          <w:sz w:val="22"/>
          <w:szCs w:val="22"/>
          <w:lang w:val="en-US"/>
        </w:rPr>
        <w:t>ddress:</w:t>
      </w:r>
      <w:r w:rsidRPr="00A857D5">
        <w:rPr>
          <w:b/>
          <w:sz w:val="22"/>
          <w:szCs w:val="22"/>
          <w:lang w:val="en-US"/>
        </w:rPr>
        <w:tab/>
      </w:r>
      <w:r w:rsidRPr="00A857D5">
        <w:rPr>
          <w:b/>
          <w:sz w:val="22"/>
          <w:szCs w:val="22"/>
          <w:lang w:val="en-US"/>
        </w:rPr>
        <w:tab/>
      </w:r>
      <w:r w:rsidR="00341A2F">
        <w:rPr>
          <w:sz w:val="22"/>
          <w:szCs w:val="22"/>
          <w:lang w:val="en-US"/>
        </w:rPr>
        <w:t>5658 Oceanview Terrace</w:t>
      </w:r>
    </w:p>
    <w:p w:rsidR="006C3EB3" w:rsidRPr="00776A82" w:rsidRDefault="006C3EB3" w:rsidP="006C3EB3">
      <w:pPr>
        <w:jc w:val="both"/>
        <w:rPr>
          <w:b/>
          <w:sz w:val="16"/>
          <w:szCs w:val="16"/>
          <w:lang w:val="en-US"/>
        </w:rPr>
      </w:pPr>
    </w:p>
    <w:p w:rsidR="0069387D" w:rsidRPr="0069387D" w:rsidRDefault="006C3EB3" w:rsidP="0069387D">
      <w:pPr>
        <w:ind w:left="2700" w:hanging="2700"/>
        <w:jc w:val="both"/>
        <w:rPr>
          <w:sz w:val="22"/>
          <w:szCs w:val="22"/>
          <w:lang w:val="en-US"/>
        </w:rPr>
      </w:pPr>
      <w:r w:rsidRPr="00A857D5">
        <w:rPr>
          <w:b/>
          <w:sz w:val="22"/>
          <w:szCs w:val="22"/>
          <w:lang w:val="en-US"/>
        </w:rPr>
        <w:t>Legal Description:</w:t>
      </w:r>
      <w:r w:rsidRPr="00A857D5">
        <w:rPr>
          <w:b/>
          <w:sz w:val="22"/>
          <w:szCs w:val="22"/>
          <w:lang w:val="en-US"/>
        </w:rPr>
        <w:tab/>
      </w:r>
      <w:r w:rsidR="00C66871">
        <w:rPr>
          <w:sz w:val="22"/>
          <w:szCs w:val="22"/>
          <w:lang w:val="en-US"/>
        </w:rPr>
        <w:t xml:space="preserve">LOT </w:t>
      </w:r>
      <w:r w:rsidR="00341A2F">
        <w:rPr>
          <w:sz w:val="22"/>
          <w:szCs w:val="22"/>
          <w:lang w:val="en-US"/>
        </w:rPr>
        <w:t>2</w:t>
      </w:r>
      <w:r w:rsidR="00C66871">
        <w:rPr>
          <w:sz w:val="22"/>
          <w:szCs w:val="22"/>
          <w:lang w:val="en-US"/>
        </w:rPr>
        <w:t xml:space="preserve">, </w:t>
      </w:r>
      <w:r w:rsidR="00DE2DAC">
        <w:rPr>
          <w:sz w:val="22"/>
          <w:szCs w:val="22"/>
          <w:lang w:val="en-US"/>
        </w:rPr>
        <w:t xml:space="preserve">DISTRICT LOT </w:t>
      </w:r>
      <w:r w:rsidR="00341A2F">
        <w:rPr>
          <w:sz w:val="22"/>
          <w:szCs w:val="22"/>
          <w:lang w:val="en-US"/>
        </w:rPr>
        <w:t>40</w:t>
      </w:r>
      <w:r w:rsidR="00DE2DAC">
        <w:rPr>
          <w:sz w:val="22"/>
          <w:szCs w:val="22"/>
          <w:lang w:val="en-US"/>
        </w:rPr>
        <w:t>, WELLINGTON DISTRICT, PLAN</w:t>
      </w:r>
      <w:r w:rsidR="00341A2F">
        <w:rPr>
          <w:sz w:val="22"/>
          <w:szCs w:val="22"/>
          <w:lang w:val="en-US"/>
        </w:rPr>
        <w:t xml:space="preserve"> VIP86893</w:t>
      </w:r>
    </w:p>
    <w:p w:rsidR="006C3EB3" w:rsidRPr="00776A82" w:rsidRDefault="006C3EB3" w:rsidP="00C6334F">
      <w:pPr>
        <w:tabs>
          <w:tab w:val="left" w:pos="2700"/>
        </w:tabs>
        <w:ind w:left="2700" w:hanging="2700"/>
        <w:jc w:val="both"/>
        <w:rPr>
          <w:i/>
          <w:sz w:val="16"/>
          <w:szCs w:val="16"/>
        </w:rPr>
      </w:pPr>
    </w:p>
    <w:p w:rsidR="00DE2DAC" w:rsidRPr="008E34D9" w:rsidRDefault="006C3EB3" w:rsidP="00341A2F">
      <w:pPr>
        <w:tabs>
          <w:tab w:val="left" w:pos="2700"/>
        </w:tabs>
        <w:ind w:left="2700" w:hanging="2700"/>
        <w:jc w:val="both"/>
        <w:rPr>
          <w:b/>
          <w:sz w:val="22"/>
          <w:szCs w:val="22"/>
          <w:lang w:val="en-US"/>
        </w:rPr>
      </w:pPr>
      <w:r w:rsidRPr="00A857D5">
        <w:rPr>
          <w:b/>
          <w:sz w:val="22"/>
          <w:szCs w:val="22"/>
          <w:lang w:val="en-US"/>
        </w:rPr>
        <w:t>Purpose:</w:t>
      </w:r>
      <w:r w:rsidRPr="00A857D5">
        <w:rPr>
          <w:b/>
          <w:sz w:val="22"/>
          <w:szCs w:val="22"/>
          <w:lang w:val="en-US"/>
        </w:rPr>
        <w:tab/>
      </w:r>
      <w:r w:rsidR="00EB67F6" w:rsidRPr="00EB67F6">
        <w:rPr>
          <w:sz w:val="22"/>
          <w:szCs w:val="22"/>
          <w:lang w:val="en-US"/>
        </w:rPr>
        <w:t>Zoning Bylaw No. 4500 r</w:t>
      </w:r>
      <w:r w:rsidR="00341A2F" w:rsidRPr="00341A2F">
        <w:rPr>
          <w:sz w:val="22"/>
          <w:szCs w:val="22"/>
          <w:lang w:val="en-US"/>
        </w:rPr>
        <w:t>eq</w:t>
      </w:r>
      <w:r w:rsidR="00EB67F6">
        <w:rPr>
          <w:sz w:val="22"/>
          <w:szCs w:val="22"/>
          <w:lang w:val="en-US"/>
        </w:rPr>
        <w:t>uires a</w:t>
      </w:r>
      <w:r w:rsidR="00341A2F" w:rsidRPr="00341A2F">
        <w:rPr>
          <w:sz w:val="22"/>
          <w:szCs w:val="22"/>
          <w:lang w:val="en-US"/>
        </w:rPr>
        <w:t xml:space="preserve"> rear yard setback </w:t>
      </w:r>
      <w:r w:rsidR="00EB67F6">
        <w:rPr>
          <w:sz w:val="22"/>
          <w:szCs w:val="22"/>
          <w:lang w:val="en-US"/>
        </w:rPr>
        <w:t>of 7.5m; a</w:t>
      </w:r>
      <w:r w:rsidR="00341A2F">
        <w:rPr>
          <w:sz w:val="22"/>
          <w:szCs w:val="22"/>
          <w:lang w:val="en-US"/>
        </w:rPr>
        <w:t>n</w:t>
      </w:r>
      <w:r w:rsidR="00341A2F" w:rsidRPr="00341A2F">
        <w:rPr>
          <w:sz w:val="22"/>
          <w:szCs w:val="22"/>
          <w:lang w:val="en-US"/>
        </w:rPr>
        <w:t xml:space="preserve"> open deck is permitted to encroach </w:t>
      </w:r>
      <w:r w:rsidR="00EB67F6">
        <w:rPr>
          <w:sz w:val="22"/>
          <w:szCs w:val="22"/>
          <w:lang w:val="en-US"/>
        </w:rPr>
        <w:t xml:space="preserve">into the setback </w:t>
      </w:r>
      <w:r w:rsidR="00341A2F" w:rsidRPr="00341A2F">
        <w:rPr>
          <w:sz w:val="22"/>
          <w:szCs w:val="22"/>
          <w:lang w:val="en-US"/>
        </w:rPr>
        <w:t>by 2m.  The applicant is requesting to vary</w:t>
      </w:r>
      <w:r w:rsidR="00EB67F6">
        <w:rPr>
          <w:sz w:val="22"/>
          <w:szCs w:val="22"/>
          <w:lang w:val="en-US"/>
        </w:rPr>
        <w:t xml:space="preserve"> the</w:t>
      </w:r>
      <w:r w:rsidR="00341A2F" w:rsidRPr="00341A2F">
        <w:rPr>
          <w:sz w:val="22"/>
          <w:szCs w:val="22"/>
          <w:lang w:val="en-US"/>
        </w:rPr>
        <w:t xml:space="preserve"> provisions of Zoning Bylaw 4500 in order to permit the construction of a deck 5.3</w:t>
      </w:r>
      <w:r w:rsidR="00341A2F">
        <w:rPr>
          <w:sz w:val="22"/>
          <w:szCs w:val="22"/>
          <w:lang w:val="en-US"/>
        </w:rPr>
        <w:t>m</w:t>
      </w:r>
      <w:r w:rsidR="00341A2F" w:rsidRPr="00341A2F">
        <w:rPr>
          <w:sz w:val="22"/>
          <w:szCs w:val="22"/>
          <w:lang w:val="en-US"/>
        </w:rPr>
        <w:t xml:space="preserve"> from the rear yard lot line.  This represents a variance request of 0.2m</w:t>
      </w:r>
    </w:p>
    <w:p w:rsidR="00341A2F" w:rsidRPr="00776A82" w:rsidRDefault="00341A2F" w:rsidP="006C3EB3">
      <w:pPr>
        <w:tabs>
          <w:tab w:val="left" w:pos="2700"/>
        </w:tabs>
        <w:autoSpaceDE w:val="0"/>
        <w:autoSpaceDN w:val="0"/>
        <w:adjustRightInd w:val="0"/>
        <w:ind w:left="2700" w:hanging="2700"/>
        <w:jc w:val="both"/>
        <w:rPr>
          <w:b/>
          <w:sz w:val="16"/>
          <w:szCs w:val="16"/>
          <w:lang w:val="en-US"/>
        </w:rPr>
      </w:pPr>
    </w:p>
    <w:p w:rsidR="006C3EB3" w:rsidRPr="008E34D9" w:rsidRDefault="006C3EB3" w:rsidP="006C3EB3">
      <w:pPr>
        <w:tabs>
          <w:tab w:val="left" w:pos="2700"/>
        </w:tabs>
        <w:autoSpaceDE w:val="0"/>
        <w:autoSpaceDN w:val="0"/>
        <w:adjustRightInd w:val="0"/>
        <w:ind w:left="2700" w:hanging="2700"/>
        <w:jc w:val="both"/>
        <w:rPr>
          <w:rFonts w:cs="Arial"/>
          <w:color w:val="161616"/>
          <w:sz w:val="22"/>
          <w:szCs w:val="22"/>
          <w:lang w:val="en-CA" w:eastAsia="en-CA"/>
        </w:rPr>
      </w:pPr>
      <w:r w:rsidRPr="008E34D9">
        <w:rPr>
          <w:b/>
          <w:sz w:val="22"/>
          <w:szCs w:val="22"/>
          <w:lang w:val="en-US"/>
        </w:rPr>
        <w:t xml:space="preserve">Zoning Regulations:  </w:t>
      </w:r>
      <w:r w:rsidRPr="008E34D9">
        <w:rPr>
          <w:b/>
          <w:sz w:val="22"/>
          <w:szCs w:val="22"/>
          <w:lang w:val="en-US"/>
        </w:rPr>
        <w:tab/>
      </w:r>
      <w:r w:rsidR="008E34D9" w:rsidRPr="008E34D9">
        <w:rPr>
          <w:sz w:val="22"/>
          <w:szCs w:val="22"/>
          <w:lang w:val="en-US"/>
        </w:rPr>
        <w:t>Single Family</w:t>
      </w:r>
      <w:r w:rsidR="00450A9C" w:rsidRPr="008E34D9">
        <w:rPr>
          <w:rFonts w:cs="Arial"/>
          <w:color w:val="161616"/>
          <w:sz w:val="22"/>
          <w:szCs w:val="22"/>
          <w:lang w:val="en-CA" w:eastAsia="en-CA"/>
        </w:rPr>
        <w:t xml:space="preserve"> Residential</w:t>
      </w:r>
      <w:r w:rsidRPr="008E34D9">
        <w:rPr>
          <w:rFonts w:cs="Arial"/>
          <w:color w:val="161616"/>
          <w:sz w:val="22"/>
          <w:szCs w:val="22"/>
          <w:lang w:val="en-CA" w:eastAsia="en-CA"/>
        </w:rPr>
        <w:t xml:space="preserve"> </w:t>
      </w:r>
      <w:r w:rsidR="00450A9C" w:rsidRPr="008E34D9">
        <w:rPr>
          <w:rFonts w:cs="Arial"/>
          <w:color w:val="161616"/>
          <w:sz w:val="22"/>
          <w:szCs w:val="22"/>
          <w:lang w:val="en-CA" w:eastAsia="en-CA"/>
        </w:rPr>
        <w:t>–</w:t>
      </w:r>
      <w:r w:rsidRPr="008E34D9">
        <w:rPr>
          <w:rFonts w:cs="Arial"/>
          <w:color w:val="161616"/>
          <w:sz w:val="22"/>
          <w:szCs w:val="22"/>
          <w:lang w:val="en-CA" w:eastAsia="en-CA"/>
        </w:rPr>
        <w:t xml:space="preserve"> R</w:t>
      </w:r>
      <w:r w:rsidR="008E34D9" w:rsidRPr="008E34D9">
        <w:rPr>
          <w:rFonts w:cs="Arial"/>
          <w:color w:val="161616"/>
          <w:sz w:val="22"/>
          <w:szCs w:val="22"/>
          <w:lang w:val="en-CA" w:eastAsia="en-CA"/>
        </w:rPr>
        <w:t>1</w:t>
      </w:r>
      <w:r w:rsidRPr="008E34D9">
        <w:rPr>
          <w:rFonts w:cs="Arial"/>
          <w:color w:val="161616"/>
          <w:sz w:val="22"/>
          <w:szCs w:val="22"/>
          <w:lang w:val="en-CA" w:eastAsia="en-CA"/>
        </w:rPr>
        <w:t>. The applicant requests a variance to the City of Nanaimo "ZONING BYLAW 2011 NO</w:t>
      </w:r>
      <w:r w:rsidRPr="008E34D9">
        <w:rPr>
          <w:rFonts w:cs="Arial"/>
          <w:color w:val="303030"/>
          <w:sz w:val="22"/>
          <w:szCs w:val="22"/>
          <w:lang w:val="en-CA" w:eastAsia="en-CA"/>
        </w:rPr>
        <w:t xml:space="preserve">. </w:t>
      </w:r>
      <w:r w:rsidRPr="008E34D9">
        <w:rPr>
          <w:rFonts w:cs="Arial"/>
          <w:color w:val="161616"/>
          <w:sz w:val="22"/>
          <w:szCs w:val="22"/>
          <w:lang w:val="en-CA" w:eastAsia="en-CA"/>
        </w:rPr>
        <w:t>4500</w:t>
      </w:r>
      <w:r w:rsidRPr="008E34D9">
        <w:rPr>
          <w:rFonts w:cs="Arial"/>
          <w:color w:val="303030"/>
          <w:sz w:val="22"/>
          <w:szCs w:val="22"/>
          <w:lang w:val="en-CA" w:eastAsia="en-CA"/>
        </w:rPr>
        <w:t>"</w:t>
      </w:r>
      <w:r w:rsidRPr="008E34D9">
        <w:rPr>
          <w:rFonts w:cs="Arial"/>
          <w:color w:val="161616"/>
          <w:sz w:val="22"/>
          <w:szCs w:val="22"/>
          <w:lang w:val="en-CA" w:eastAsia="en-CA"/>
        </w:rPr>
        <w:t>:</w:t>
      </w:r>
    </w:p>
    <w:p w:rsidR="006C3EB3" w:rsidRPr="00776A82" w:rsidRDefault="006C3EB3" w:rsidP="006C3EB3">
      <w:pPr>
        <w:rPr>
          <w:sz w:val="16"/>
          <w:szCs w:val="16"/>
          <w:lang w:val="en-US"/>
        </w:rPr>
      </w:pPr>
    </w:p>
    <w:p w:rsidR="008E34D9" w:rsidRPr="008E34D9" w:rsidRDefault="008E34D9" w:rsidP="008E34D9">
      <w:pPr>
        <w:autoSpaceDE w:val="0"/>
        <w:autoSpaceDN w:val="0"/>
        <w:adjustRightInd w:val="0"/>
        <w:ind w:left="2700"/>
        <w:jc w:val="both"/>
        <w:rPr>
          <w:rFonts w:cs="Arial"/>
          <w:i/>
          <w:iCs/>
          <w:sz w:val="22"/>
          <w:szCs w:val="22"/>
          <w:lang w:val="en-CA" w:eastAsia="en-CA"/>
        </w:rPr>
      </w:pPr>
      <w:r w:rsidRPr="008E34D9">
        <w:rPr>
          <w:rFonts w:cs="Arial"/>
          <w:i/>
          <w:iCs/>
          <w:sz w:val="22"/>
          <w:szCs w:val="22"/>
          <w:lang w:val="en-CA" w:eastAsia="en-CA"/>
        </w:rPr>
        <w:t>Section 7.5.1 – Yard Requirements</w:t>
      </w:r>
    </w:p>
    <w:p w:rsidR="008E34D9" w:rsidRDefault="008E34D9" w:rsidP="008E34D9">
      <w:pPr>
        <w:autoSpaceDE w:val="0"/>
        <w:autoSpaceDN w:val="0"/>
        <w:adjustRightInd w:val="0"/>
        <w:ind w:left="2700"/>
        <w:jc w:val="both"/>
        <w:rPr>
          <w:i/>
          <w:sz w:val="22"/>
          <w:szCs w:val="22"/>
          <w:lang w:val="en-US"/>
        </w:rPr>
      </w:pPr>
      <w:r w:rsidRPr="007E3EEA">
        <w:rPr>
          <w:i/>
          <w:sz w:val="22"/>
          <w:szCs w:val="22"/>
          <w:lang w:val="en-US"/>
        </w:rPr>
        <w:t xml:space="preserve">A </w:t>
      </w:r>
      <w:r w:rsidR="00EB67F6">
        <w:rPr>
          <w:i/>
          <w:sz w:val="22"/>
          <w:szCs w:val="22"/>
          <w:lang w:val="en-US"/>
        </w:rPr>
        <w:t>rear</w:t>
      </w:r>
      <w:r w:rsidRPr="007E3EEA">
        <w:rPr>
          <w:i/>
          <w:sz w:val="22"/>
          <w:szCs w:val="22"/>
          <w:lang w:val="en-US"/>
        </w:rPr>
        <w:t xml:space="preserve"> yard setback of </w:t>
      </w:r>
      <w:r w:rsidR="00EB67F6">
        <w:rPr>
          <w:i/>
          <w:sz w:val="22"/>
          <w:szCs w:val="22"/>
          <w:lang w:val="en-US"/>
        </w:rPr>
        <w:t>7</w:t>
      </w:r>
      <w:r w:rsidRPr="007E3EEA">
        <w:rPr>
          <w:i/>
          <w:sz w:val="22"/>
          <w:szCs w:val="22"/>
          <w:lang w:val="en-US"/>
        </w:rPr>
        <w:t>.5m is required.</w:t>
      </w:r>
      <w:r w:rsidR="00C20226">
        <w:rPr>
          <w:i/>
          <w:sz w:val="22"/>
          <w:szCs w:val="22"/>
          <w:lang w:val="en-US"/>
        </w:rPr>
        <w:t xml:space="preserve">  </w:t>
      </w:r>
    </w:p>
    <w:p w:rsidR="00C20226" w:rsidRPr="00776A82" w:rsidRDefault="00C20226" w:rsidP="008E34D9">
      <w:pPr>
        <w:autoSpaceDE w:val="0"/>
        <w:autoSpaceDN w:val="0"/>
        <w:adjustRightInd w:val="0"/>
        <w:ind w:left="2700"/>
        <w:jc w:val="both"/>
        <w:rPr>
          <w:i/>
          <w:sz w:val="16"/>
          <w:szCs w:val="16"/>
          <w:lang w:val="en-US"/>
        </w:rPr>
      </w:pPr>
    </w:p>
    <w:p w:rsidR="00C20226" w:rsidRDefault="00C20226" w:rsidP="008E34D9">
      <w:pPr>
        <w:autoSpaceDE w:val="0"/>
        <w:autoSpaceDN w:val="0"/>
        <w:adjustRightInd w:val="0"/>
        <w:ind w:left="2700"/>
        <w:jc w:val="both"/>
        <w:rPr>
          <w:i/>
          <w:sz w:val="22"/>
          <w:szCs w:val="22"/>
          <w:lang w:val="en-US"/>
        </w:rPr>
      </w:pPr>
      <w:r>
        <w:rPr>
          <w:i/>
          <w:sz w:val="22"/>
          <w:szCs w:val="22"/>
          <w:lang w:val="en-US"/>
        </w:rPr>
        <w:t>Section 6.5.1 – Projections into Yards</w:t>
      </w:r>
    </w:p>
    <w:p w:rsidR="00C20226" w:rsidRPr="00776A82" w:rsidRDefault="00C20226" w:rsidP="008E34D9">
      <w:pPr>
        <w:autoSpaceDE w:val="0"/>
        <w:autoSpaceDN w:val="0"/>
        <w:adjustRightInd w:val="0"/>
        <w:ind w:left="2700"/>
        <w:jc w:val="both"/>
        <w:rPr>
          <w:i/>
          <w:sz w:val="16"/>
          <w:szCs w:val="16"/>
          <w:lang w:val="en-US"/>
        </w:rPr>
      </w:pPr>
    </w:p>
    <w:tbl>
      <w:tblPr>
        <w:tblStyle w:val="MediumShadin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7"/>
        <w:gridCol w:w="6"/>
        <w:gridCol w:w="1329"/>
        <w:gridCol w:w="19"/>
        <w:gridCol w:w="1310"/>
        <w:gridCol w:w="13"/>
        <w:gridCol w:w="1316"/>
        <w:gridCol w:w="8"/>
        <w:gridCol w:w="1323"/>
        <w:gridCol w:w="2425"/>
      </w:tblGrid>
      <w:tr w:rsidR="00C20226" w:rsidRPr="00FE656F" w:rsidTr="00C20226">
        <w:trPr>
          <w:cnfStyle w:val="100000000000"/>
        </w:trPr>
        <w:tc>
          <w:tcPr>
            <w:cnfStyle w:val="001000000000"/>
            <w:tcW w:w="957" w:type="pct"/>
            <w:gridSpan w:val="2"/>
            <w:vMerge w:val="restart"/>
            <w:tcBorders>
              <w:top w:val="none" w:sz="0" w:space="0" w:color="auto"/>
              <w:left w:val="none" w:sz="0" w:space="0" w:color="auto"/>
              <w:bottom w:val="none" w:sz="0" w:space="0" w:color="auto"/>
              <w:right w:val="none" w:sz="0" w:space="0" w:color="auto"/>
            </w:tcBorders>
          </w:tcPr>
          <w:p w:rsidR="00C20226" w:rsidRPr="00FE656F" w:rsidRDefault="00C20226" w:rsidP="00C20226">
            <w:pPr>
              <w:tabs>
                <w:tab w:val="left" w:pos="702"/>
                <w:tab w:val="left" w:pos="2160"/>
                <w:tab w:val="left" w:pos="2736"/>
                <w:tab w:val="left" w:pos="2880"/>
                <w:tab w:val="left" w:pos="3024"/>
                <w:tab w:val="left" w:pos="3060"/>
                <w:tab w:val="left" w:pos="3456"/>
                <w:tab w:val="left" w:pos="3690"/>
                <w:tab w:val="left" w:pos="4176"/>
                <w:tab w:val="left" w:pos="5760"/>
                <w:tab w:val="left" w:pos="6768"/>
              </w:tabs>
              <w:ind w:left="-1440" w:right="-1394"/>
              <w:jc w:val="center"/>
              <w:rPr>
                <w:rFonts w:cs="Arial"/>
                <w:b w:val="0"/>
                <w:color w:val="auto"/>
                <w:sz w:val="20"/>
              </w:rPr>
            </w:pPr>
            <w:r w:rsidRPr="00FE656F">
              <w:rPr>
                <w:rFonts w:cs="Arial"/>
                <w:color w:val="auto"/>
                <w:sz w:val="20"/>
              </w:rPr>
              <w:t>Feature</w:t>
            </w:r>
          </w:p>
        </w:tc>
        <w:tc>
          <w:tcPr>
            <w:tcW w:w="2776" w:type="pct"/>
            <w:gridSpan w:val="7"/>
            <w:tcBorders>
              <w:top w:val="none" w:sz="0" w:space="0" w:color="auto"/>
              <w:left w:val="none" w:sz="0" w:space="0" w:color="auto"/>
              <w:bottom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100000000000"/>
              <w:rPr>
                <w:rFonts w:cs="Arial"/>
                <w:b w:val="0"/>
                <w:color w:val="auto"/>
                <w:sz w:val="20"/>
              </w:rPr>
            </w:pPr>
            <w:r w:rsidRPr="00FE656F">
              <w:rPr>
                <w:rFonts w:cs="Arial"/>
                <w:color w:val="auto"/>
                <w:sz w:val="20"/>
              </w:rPr>
              <w:t>Permitted Projection into</w:t>
            </w:r>
          </w:p>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100000000000"/>
              <w:rPr>
                <w:rFonts w:cs="Arial"/>
                <w:b w:val="0"/>
                <w:color w:val="auto"/>
                <w:sz w:val="20"/>
              </w:rPr>
            </w:pPr>
            <w:r w:rsidRPr="00FE656F">
              <w:rPr>
                <w:rFonts w:cs="Arial"/>
                <w:color w:val="auto"/>
                <w:sz w:val="20"/>
              </w:rPr>
              <w:t>Required Yard Setback</w:t>
            </w:r>
          </w:p>
        </w:tc>
        <w:tc>
          <w:tcPr>
            <w:tcW w:w="1267" w:type="pct"/>
            <w:vMerge w:val="restart"/>
            <w:tcBorders>
              <w:top w:val="none" w:sz="0" w:space="0" w:color="auto"/>
              <w:left w:val="none" w:sz="0" w:space="0" w:color="auto"/>
              <w:bottom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100000000000"/>
              <w:rPr>
                <w:rFonts w:cs="Arial"/>
                <w:b w:val="0"/>
                <w:color w:val="auto"/>
                <w:sz w:val="20"/>
              </w:rPr>
            </w:pPr>
            <w:r w:rsidRPr="00FE656F">
              <w:rPr>
                <w:rFonts w:cs="Arial"/>
                <w:color w:val="auto"/>
                <w:sz w:val="20"/>
              </w:rPr>
              <w:t>Conditions of Use</w:t>
            </w:r>
          </w:p>
        </w:tc>
      </w:tr>
      <w:tr w:rsidR="00C20226" w:rsidRPr="00FE656F" w:rsidTr="00C20226">
        <w:trPr>
          <w:cnfStyle w:val="000000100000"/>
        </w:trPr>
        <w:tc>
          <w:tcPr>
            <w:cnfStyle w:val="001000000000"/>
            <w:tcW w:w="957" w:type="pct"/>
            <w:gridSpan w:val="2"/>
            <w:vMerge/>
            <w:tcBorders>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both"/>
              <w:rPr>
                <w:rFonts w:cs="Arial"/>
                <w:b w:val="0"/>
                <w:sz w:val="20"/>
              </w:rPr>
            </w:pPr>
          </w:p>
        </w:tc>
        <w:tc>
          <w:tcPr>
            <w:tcW w:w="694" w:type="pct"/>
            <w:tcBorders>
              <w:left w:val="none" w:sz="0" w:space="0" w:color="auto"/>
              <w:right w:val="none" w:sz="0" w:space="0" w:color="auto"/>
            </w:tcBorders>
            <w:shd w:val="clear" w:color="auto" w:fill="D9D9D9" w:themeFill="background1" w:themeFillShade="D9"/>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100000"/>
              <w:rPr>
                <w:rFonts w:cs="Arial"/>
                <w:b/>
                <w:sz w:val="20"/>
              </w:rPr>
            </w:pPr>
            <w:r w:rsidRPr="00FE656F">
              <w:rPr>
                <w:rFonts w:cs="Arial"/>
                <w:b/>
                <w:sz w:val="20"/>
              </w:rPr>
              <w:t>Front</w:t>
            </w:r>
          </w:p>
        </w:tc>
        <w:tc>
          <w:tcPr>
            <w:tcW w:w="694" w:type="pct"/>
            <w:gridSpan w:val="2"/>
            <w:tcBorders>
              <w:left w:val="none" w:sz="0" w:space="0" w:color="auto"/>
              <w:right w:val="none" w:sz="0" w:space="0" w:color="auto"/>
            </w:tcBorders>
            <w:shd w:val="clear" w:color="auto" w:fill="D9D9D9" w:themeFill="background1" w:themeFillShade="D9"/>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100000"/>
              <w:rPr>
                <w:rFonts w:cs="Arial"/>
                <w:b/>
                <w:sz w:val="20"/>
              </w:rPr>
            </w:pPr>
            <w:r w:rsidRPr="00FE656F">
              <w:rPr>
                <w:rFonts w:cs="Arial"/>
                <w:b/>
                <w:sz w:val="20"/>
              </w:rPr>
              <w:t>Side</w:t>
            </w:r>
          </w:p>
        </w:tc>
        <w:tc>
          <w:tcPr>
            <w:tcW w:w="694" w:type="pct"/>
            <w:gridSpan w:val="2"/>
            <w:tcBorders>
              <w:left w:val="none" w:sz="0" w:space="0" w:color="auto"/>
              <w:right w:val="none" w:sz="0" w:space="0" w:color="auto"/>
            </w:tcBorders>
            <w:shd w:val="clear" w:color="auto" w:fill="D9D9D9" w:themeFill="background1" w:themeFillShade="D9"/>
          </w:tcPr>
          <w:p w:rsidR="00C20226" w:rsidRPr="00FE656F" w:rsidRDefault="00C20226" w:rsidP="00C20226">
            <w:pPr>
              <w:tabs>
                <w:tab w:val="left" w:pos="1079"/>
                <w:tab w:val="left" w:pos="2160"/>
                <w:tab w:val="left" w:pos="2736"/>
                <w:tab w:val="left" w:pos="2880"/>
                <w:tab w:val="left" w:pos="3024"/>
                <w:tab w:val="left" w:pos="3060"/>
                <w:tab w:val="left" w:pos="3456"/>
                <w:tab w:val="left" w:pos="3690"/>
                <w:tab w:val="left" w:pos="4176"/>
                <w:tab w:val="left" w:pos="5760"/>
                <w:tab w:val="left" w:pos="6768"/>
              </w:tabs>
              <w:ind w:right="62"/>
              <w:jc w:val="center"/>
              <w:cnfStyle w:val="000000100000"/>
              <w:rPr>
                <w:rFonts w:cs="Arial"/>
                <w:b/>
                <w:sz w:val="20"/>
              </w:rPr>
            </w:pPr>
            <w:r w:rsidRPr="00FE656F">
              <w:rPr>
                <w:rFonts w:cs="Arial"/>
                <w:b/>
                <w:sz w:val="20"/>
              </w:rPr>
              <w:t>Flanking Side</w:t>
            </w:r>
          </w:p>
        </w:tc>
        <w:tc>
          <w:tcPr>
            <w:tcW w:w="694" w:type="pct"/>
            <w:gridSpan w:val="2"/>
            <w:tcBorders>
              <w:left w:val="none" w:sz="0" w:space="0" w:color="auto"/>
              <w:right w:val="none" w:sz="0" w:space="0" w:color="auto"/>
            </w:tcBorders>
            <w:shd w:val="clear" w:color="auto" w:fill="D9D9D9" w:themeFill="background1" w:themeFillShade="D9"/>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100000"/>
              <w:rPr>
                <w:rFonts w:cs="Arial"/>
                <w:b/>
                <w:sz w:val="20"/>
              </w:rPr>
            </w:pPr>
            <w:r w:rsidRPr="00FE656F">
              <w:rPr>
                <w:rFonts w:cs="Arial"/>
                <w:b/>
                <w:sz w:val="20"/>
              </w:rPr>
              <w:t>Rear</w:t>
            </w:r>
          </w:p>
        </w:tc>
        <w:tc>
          <w:tcPr>
            <w:tcW w:w="1267" w:type="pct"/>
            <w:vMerge/>
            <w:tcBorders>
              <w:lef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100000"/>
              <w:rPr>
                <w:rFonts w:cs="Arial"/>
                <w:sz w:val="20"/>
              </w:rPr>
            </w:pPr>
          </w:p>
        </w:tc>
      </w:tr>
      <w:tr w:rsidR="00C20226" w:rsidRPr="00FE656F" w:rsidTr="00C20226">
        <w:trPr>
          <w:cnfStyle w:val="000000010000"/>
        </w:trPr>
        <w:tc>
          <w:tcPr>
            <w:cnfStyle w:val="001000000000"/>
            <w:tcW w:w="954" w:type="pct"/>
            <w:tcBorders>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rPr>
                <w:rFonts w:cs="Arial"/>
                <w:b w:val="0"/>
                <w:sz w:val="20"/>
              </w:rPr>
            </w:pPr>
            <w:r w:rsidRPr="00FE656F">
              <w:rPr>
                <w:rFonts w:cs="Arial"/>
                <w:sz w:val="20"/>
              </w:rPr>
              <w:t>Open Deck</w:t>
            </w:r>
          </w:p>
        </w:tc>
        <w:tc>
          <w:tcPr>
            <w:tcW w:w="707" w:type="pct"/>
            <w:gridSpan w:val="3"/>
            <w:tcBorders>
              <w:left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010000"/>
              <w:rPr>
                <w:rFonts w:cs="Arial"/>
                <w:sz w:val="20"/>
              </w:rPr>
            </w:pPr>
            <w:r w:rsidRPr="00FE656F">
              <w:rPr>
                <w:rFonts w:cs="Arial"/>
                <w:sz w:val="20"/>
              </w:rPr>
              <w:t>2m</w:t>
            </w:r>
          </w:p>
        </w:tc>
        <w:tc>
          <w:tcPr>
            <w:tcW w:w="691" w:type="pct"/>
            <w:gridSpan w:val="2"/>
            <w:tcBorders>
              <w:left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010000"/>
              <w:rPr>
                <w:rFonts w:cs="Arial"/>
                <w:b/>
                <w:sz w:val="20"/>
              </w:rPr>
            </w:pPr>
            <w:r w:rsidRPr="00FE656F">
              <w:rPr>
                <w:rFonts w:cs="Arial"/>
                <w:b/>
                <w:sz w:val="20"/>
              </w:rPr>
              <w:t>- - -</w:t>
            </w:r>
          </w:p>
        </w:tc>
        <w:tc>
          <w:tcPr>
            <w:tcW w:w="691" w:type="pct"/>
            <w:gridSpan w:val="2"/>
            <w:tcBorders>
              <w:left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010000"/>
              <w:rPr>
                <w:rFonts w:cs="Arial"/>
                <w:sz w:val="20"/>
              </w:rPr>
            </w:pPr>
            <w:r w:rsidRPr="00FE656F">
              <w:rPr>
                <w:rFonts w:cs="Arial"/>
                <w:sz w:val="20"/>
              </w:rPr>
              <w:t>2m</w:t>
            </w:r>
          </w:p>
        </w:tc>
        <w:tc>
          <w:tcPr>
            <w:tcW w:w="691" w:type="pct"/>
            <w:tcBorders>
              <w:left w:val="none" w:sz="0" w:space="0" w:color="auto"/>
              <w:right w:val="none" w:sz="0" w:space="0" w:color="auto"/>
            </w:tcBorders>
          </w:tcPr>
          <w:p w:rsidR="00C20226" w:rsidRPr="00FE656F" w:rsidRDefault="00C20226" w:rsidP="00C20226">
            <w:pPr>
              <w:tabs>
                <w:tab w:val="left" w:pos="720"/>
                <w:tab w:val="left" w:pos="2160"/>
                <w:tab w:val="left" w:pos="2736"/>
                <w:tab w:val="left" w:pos="2880"/>
                <w:tab w:val="left" w:pos="3024"/>
                <w:tab w:val="left" w:pos="3060"/>
                <w:tab w:val="left" w:pos="3456"/>
                <w:tab w:val="left" w:pos="3690"/>
                <w:tab w:val="left" w:pos="4176"/>
                <w:tab w:val="left" w:pos="5760"/>
                <w:tab w:val="left" w:pos="6768"/>
              </w:tabs>
              <w:ind w:right="288"/>
              <w:jc w:val="center"/>
              <w:cnfStyle w:val="000000010000"/>
              <w:rPr>
                <w:rFonts w:cs="Arial"/>
                <w:sz w:val="20"/>
              </w:rPr>
            </w:pPr>
            <w:r w:rsidRPr="00FE656F">
              <w:rPr>
                <w:rFonts w:cs="Arial"/>
                <w:sz w:val="20"/>
              </w:rPr>
              <w:t>2m</w:t>
            </w:r>
          </w:p>
        </w:tc>
        <w:tc>
          <w:tcPr>
            <w:tcW w:w="1265" w:type="pct"/>
            <w:tcBorders>
              <w:left w:val="none" w:sz="0" w:space="0" w:color="auto"/>
            </w:tcBorders>
          </w:tcPr>
          <w:p w:rsidR="00C20226" w:rsidRPr="00FE656F" w:rsidRDefault="00C20226" w:rsidP="00C20226">
            <w:pPr>
              <w:tabs>
                <w:tab w:val="left" w:pos="720"/>
                <w:tab w:val="left" w:pos="2267"/>
                <w:tab w:val="left" w:pos="2736"/>
                <w:tab w:val="left" w:pos="2880"/>
                <w:tab w:val="left" w:pos="3024"/>
                <w:tab w:val="left" w:pos="3060"/>
                <w:tab w:val="left" w:pos="3456"/>
                <w:tab w:val="left" w:pos="3690"/>
                <w:tab w:val="left" w:pos="4176"/>
                <w:tab w:val="left" w:pos="5760"/>
                <w:tab w:val="left" w:pos="6768"/>
              </w:tabs>
              <w:ind w:right="108"/>
              <w:jc w:val="center"/>
              <w:cnfStyle w:val="000000010000"/>
              <w:rPr>
                <w:rFonts w:cs="Arial"/>
                <w:sz w:val="20"/>
              </w:rPr>
            </w:pPr>
          </w:p>
        </w:tc>
      </w:tr>
    </w:tbl>
    <w:p w:rsidR="00C20226" w:rsidRPr="00776A82" w:rsidRDefault="00C20226" w:rsidP="008E34D9">
      <w:pPr>
        <w:autoSpaceDE w:val="0"/>
        <w:autoSpaceDN w:val="0"/>
        <w:adjustRightInd w:val="0"/>
        <w:ind w:left="2700"/>
        <w:jc w:val="both"/>
        <w:rPr>
          <w:i/>
          <w:sz w:val="16"/>
          <w:szCs w:val="16"/>
          <w:lang w:val="en-US"/>
        </w:rPr>
      </w:pPr>
    </w:p>
    <w:p w:rsidR="006C3EB3" w:rsidRPr="008E34D9" w:rsidRDefault="006C3EB3" w:rsidP="006C3EB3">
      <w:pPr>
        <w:tabs>
          <w:tab w:val="left" w:pos="2700"/>
        </w:tabs>
        <w:autoSpaceDE w:val="0"/>
        <w:autoSpaceDN w:val="0"/>
        <w:adjustRightInd w:val="0"/>
        <w:ind w:left="2700" w:hanging="2700"/>
        <w:jc w:val="both"/>
        <w:rPr>
          <w:rFonts w:cs="Arial"/>
          <w:iCs/>
          <w:color w:val="161616"/>
          <w:sz w:val="22"/>
          <w:szCs w:val="22"/>
          <w:lang w:val="en-CA" w:eastAsia="en-CA"/>
        </w:rPr>
      </w:pPr>
      <w:r w:rsidRPr="008E34D9">
        <w:rPr>
          <w:b/>
          <w:sz w:val="22"/>
          <w:szCs w:val="22"/>
        </w:rPr>
        <w:t xml:space="preserve">Local Government Act: </w:t>
      </w:r>
      <w:r w:rsidRPr="008E34D9">
        <w:rPr>
          <w:b/>
          <w:sz w:val="22"/>
          <w:szCs w:val="22"/>
        </w:rPr>
        <w:tab/>
      </w:r>
      <w:r w:rsidRPr="008E34D9">
        <w:rPr>
          <w:rFonts w:cs="Arial"/>
          <w:color w:val="161616"/>
          <w:sz w:val="22"/>
          <w:szCs w:val="22"/>
          <w:lang w:val="en-CA" w:eastAsia="en-CA"/>
        </w:rPr>
        <w:t>The property is considered legal</w:t>
      </w:r>
      <w:r w:rsidRPr="008E34D9">
        <w:rPr>
          <w:rFonts w:cs="Arial"/>
          <w:color w:val="303030"/>
          <w:sz w:val="22"/>
          <w:szCs w:val="22"/>
          <w:lang w:val="en-CA" w:eastAsia="en-CA"/>
        </w:rPr>
        <w:t>-</w:t>
      </w:r>
      <w:r w:rsidRPr="008E34D9">
        <w:rPr>
          <w:rFonts w:cs="Arial"/>
          <w:color w:val="161616"/>
          <w:sz w:val="22"/>
          <w:szCs w:val="22"/>
          <w:lang w:val="en-CA" w:eastAsia="en-CA"/>
        </w:rPr>
        <w:t xml:space="preserve">conforming and, as such; </w:t>
      </w:r>
      <w:r w:rsidRPr="008E34D9">
        <w:rPr>
          <w:rFonts w:cs="Arial"/>
          <w:iCs/>
          <w:color w:val="161616"/>
          <w:sz w:val="22"/>
          <w:szCs w:val="22"/>
          <w:lang w:val="en-CA" w:eastAsia="en-CA"/>
        </w:rPr>
        <w:t xml:space="preserve">Local Government Act, Section 911 </w:t>
      </w:r>
      <w:r w:rsidRPr="008E34D9">
        <w:rPr>
          <w:rFonts w:cs="Arial"/>
          <w:color w:val="161616"/>
          <w:sz w:val="22"/>
          <w:szCs w:val="22"/>
          <w:lang w:val="en-CA" w:eastAsia="en-CA"/>
        </w:rPr>
        <w:t xml:space="preserve">- </w:t>
      </w:r>
      <w:r w:rsidRPr="008E34D9">
        <w:rPr>
          <w:rFonts w:cs="Arial"/>
          <w:iCs/>
          <w:color w:val="161616"/>
          <w:sz w:val="22"/>
          <w:szCs w:val="22"/>
          <w:lang w:val="en-CA" w:eastAsia="en-CA"/>
        </w:rPr>
        <w:t>Non-conforming Uses and Siting</w:t>
      </w:r>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6C3EB3" w:rsidRPr="00776A82" w:rsidRDefault="006C3EB3" w:rsidP="006C3EB3">
      <w:pPr>
        <w:ind w:left="2700" w:hanging="2700"/>
        <w:jc w:val="both"/>
        <w:rPr>
          <w:i/>
          <w:sz w:val="16"/>
          <w:szCs w:val="16"/>
          <w:lang w:val="en-US"/>
        </w:rPr>
      </w:pPr>
    </w:p>
    <w:p w:rsidR="005164DF" w:rsidRPr="00A857D5" w:rsidRDefault="006C3EB3" w:rsidP="00C35350">
      <w:pPr>
        <w:jc w:val="both"/>
        <w:rPr>
          <w:sz w:val="22"/>
          <w:szCs w:val="22"/>
          <w:lang w:val="en-US"/>
        </w:rPr>
      </w:pPr>
      <w:r w:rsidRPr="008E34D9">
        <w:rPr>
          <w:sz w:val="22"/>
          <w:szCs w:val="22"/>
          <w:lang w:val="en-US"/>
        </w:rPr>
        <w:t>The Board of Variance decision will apply to subsequent</w:t>
      </w:r>
      <w:r w:rsidRPr="00A857D5">
        <w:rPr>
          <w:sz w:val="22"/>
          <w:szCs w:val="22"/>
          <w:lang w:val="en-US"/>
        </w:rPr>
        <w:t xml:space="preserve"> owners of the land.  If you deem your property to be affected by this appeal, please feel free to attend this meeting.  </w:t>
      </w:r>
      <w:r w:rsidRPr="00A857D5">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A857D5">
        <w:rPr>
          <w:sz w:val="22"/>
          <w:szCs w:val="22"/>
          <w:lang w:val="en-US"/>
        </w:rPr>
        <w:t>411 Dunsmuir Street</w:t>
      </w:r>
      <w:r w:rsidRPr="00A857D5">
        <w:rPr>
          <w:color w:val="000000"/>
          <w:sz w:val="22"/>
          <w:szCs w:val="22"/>
        </w:rPr>
        <w:t xml:space="preserve">, Nanaimo, BC, or by calling 250-755-4429 (x4344), during normal </w:t>
      </w:r>
      <w:r w:rsidR="00C6334F" w:rsidRPr="00A857D5">
        <w:rPr>
          <w:color w:val="000000"/>
          <w:sz w:val="22"/>
          <w:szCs w:val="22"/>
        </w:rPr>
        <w:t>business hours</w:t>
      </w:r>
      <w:r w:rsidRPr="00A857D5">
        <w:rPr>
          <w:color w:val="000000"/>
          <w:sz w:val="22"/>
          <w:szCs w:val="22"/>
        </w:rPr>
        <w:t xml:space="preserve">, </w:t>
      </w:r>
      <w:r w:rsidR="00B24B33">
        <w:rPr>
          <w:color w:val="000000"/>
          <w:sz w:val="22"/>
          <w:szCs w:val="22"/>
        </w:rPr>
        <w:t xml:space="preserve"> </w:t>
      </w:r>
      <w:r w:rsidR="00C6334F" w:rsidRPr="00A857D5">
        <w:rPr>
          <w:color w:val="000000"/>
          <w:sz w:val="22"/>
          <w:szCs w:val="22"/>
        </w:rPr>
        <w:t xml:space="preserve">Monday to Friday, </w:t>
      </w:r>
      <w:r w:rsidR="00B24B33">
        <w:rPr>
          <w:color w:val="000000"/>
          <w:sz w:val="22"/>
          <w:szCs w:val="22"/>
        </w:rPr>
        <w:t xml:space="preserve"> </w:t>
      </w:r>
      <w:r w:rsidR="00C6334F" w:rsidRPr="00A857D5">
        <w:rPr>
          <w:color w:val="000000"/>
          <w:sz w:val="22"/>
          <w:szCs w:val="22"/>
        </w:rPr>
        <w:t xml:space="preserve">excluding </w:t>
      </w:r>
      <w:r w:rsidR="00B24B33">
        <w:rPr>
          <w:color w:val="000000"/>
          <w:sz w:val="22"/>
          <w:szCs w:val="22"/>
        </w:rPr>
        <w:t xml:space="preserve"> </w:t>
      </w:r>
      <w:r w:rsidR="00C6334F" w:rsidRPr="00A857D5">
        <w:rPr>
          <w:color w:val="000000"/>
          <w:sz w:val="22"/>
          <w:szCs w:val="22"/>
        </w:rPr>
        <w:t>statutory</w:t>
      </w:r>
      <w:r w:rsidR="00B24B33">
        <w:rPr>
          <w:color w:val="000000"/>
          <w:sz w:val="22"/>
          <w:szCs w:val="22"/>
        </w:rPr>
        <w:t xml:space="preserve"> </w:t>
      </w:r>
      <w:r w:rsidR="00C6334F" w:rsidRPr="00A857D5">
        <w:rPr>
          <w:color w:val="000000"/>
          <w:sz w:val="22"/>
          <w:szCs w:val="22"/>
        </w:rPr>
        <w:t xml:space="preserve"> holidays,</w:t>
      </w:r>
      <w:r w:rsidR="00B24B33">
        <w:rPr>
          <w:color w:val="000000"/>
          <w:sz w:val="22"/>
          <w:szCs w:val="22"/>
        </w:rPr>
        <w:t xml:space="preserve"> </w:t>
      </w:r>
      <w:r w:rsidR="00C6334F" w:rsidRPr="00A857D5">
        <w:rPr>
          <w:color w:val="000000"/>
          <w:sz w:val="22"/>
          <w:szCs w:val="22"/>
        </w:rPr>
        <w:t xml:space="preserve"> from </w:t>
      </w:r>
      <w:r w:rsidR="00B24B33">
        <w:rPr>
          <w:color w:val="000000"/>
          <w:sz w:val="22"/>
          <w:szCs w:val="22"/>
        </w:rPr>
        <w:t xml:space="preserve"> </w:t>
      </w:r>
      <w:r w:rsidR="00C6334F" w:rsidRPr="00A857D5">
        <w:rPr>
          <w:color w:val="000000"/>
          <w:sz w:val="22"/>
          <w:szCs w:val="22"/>
        </w:rPr>
        <w:t>2013</w:t>
      </w:r>
      <w:r w:rsidRPr="00A857D5">
        <w:rPr>
          <w:color w:val="000000"/>
          <w:sz w:val="22"/>
          <w:szCs w:val="22"/>
        </w:rPr>
        <w:t>-</w:t>
      </w:r>
      <w:r w:rsidR="00A857D5" w:rsidRPr="00A857D5">
        <w:rPr>
          <w:color w:val="000000"/>
          <w:sz w:val="22"/>
          <w:szCs w:val="22"/>
        </w:rPr>
        <w:t>JU</w:t>
      </w:r>
      <w:r w:rsidR="008007AD">
        <w:rPr>
          <w:color w:val="000000"/>
          <w:sz w:val="22"/>
          <w:szCs w:val="22"/>
        </w:rPr>
        <w:t>L</w:t>
      </w:r>
      <w:r w:rsidRPr="00A857D5">
        <w:rPr>
          <w:color w:val="000000"/>
          <w:sz w:val="22"/>
          <w:szCs w:val="22"/>
        </w:rPr>
        <w:t>-</w:t>
      </w:r>
      <w:r w:rsidR="008007AD">
        <w:rPr>
          <w:color w:val="000000"/>
          <w:sz w:val="22"/>
          <w:szCs w:val="22"/>
        </w:rPr>
        <w:t>08</w:t>
      </w:r>
      <w:r w:rsidR="00B24B33">
        <w:rPr>
          <w:color w:val="000000"/>
          <w:sz w:val="22"/>
          <w:szCs w:val="22"/>
        </w:rPr>
        <w:t xml:space="preserve"> </w:t>
      </w:r>
      <w:r w:rsidRPr="00A857D5">
        <w:rPr>
          <w:color w:val="000000"/>
          <w:sz w:val="22"/>
          <w:szCs w:val="22"/>
        </w:rPr>
        <w:t xml:space="preserve"> to</w:t>
      </w:r>
      <w:r w:rsidR="00B24B33">
        <w:rPr>
          <w:color w:val="000000"/>
          <w:sz w:val="22"/>
          <w:szCs w:val="22"/>
        </w:rPr>
        <w:t xml:space="preserve"> </w:t>
      </w:r>
      <w:r w:rsidRPr="00A857D5">
        <w:rPr>
          <w:color w:val="000000"/>
          <w:sz w:val="22"/>
          <w:szCs w:val="22"/>
        </w:rPr>
        <w:t xml:space="preserve"> </w:t>
      </w:r>
      <w:r w:rsidRPr="00A857D5">
        <w:rPr>
          <w:sz w:val="22"/>
          <w:szCs w:val="22"/>
          <w:lang w:val="en-US"/>
        </w:rPr>
        <w:t>2013-</w:t>
      </w:r>
      <w:r w:rsidR="00A857D5" w:rsidRPr="00A857D5">
        <w:rPr>
          <w:sz w:val="22"/>
          <w:szCs w:val="22"/>
          <w:lang w:val="en-US"/>
        </w:rPr>
        <w:t>JU</w:t>
      </w:r>
      <w:r w:rsidR="008007AD">
        <w:rPr>
          <w:sz w:val="22"/>
          <w:szCs w:val="22"/>
          <w:lang w:val="en-US"/>
        </w:rPr>
        <w:t>L</w:t>
      </w:r>
      <w:r w:rsidRPr="00A857D5">
        <w:rPr>
          <w:sz w:val="22"/>
          <w:szCs w:val="22"/>
          <w:lang w:val="en-US"/>
        </w:rPr>
        <w:t>-</w:t>
      </w:r>
      <w:r w:rsidR="008007AD">
        <w:rPr>
          <w:sz w:val="22"/>
          <w:szCs w:val="22"/>
          <w:lang w:val="en-US"/>
        </w:rPr>
        <w:t>18</w:t>
      </w:r>
      <w:r w:rsidRPr="00A857D5">
        <w:rPr>
          <w:color w:val="000000"/>
          <w:sz w:val="22"/>
          <w:szCs w:val="22"/>
        </w:rPr>
        <w:t xml:space="preserve">, inclusive.  </w:t>
      </w:r>
    </w:p>
    <w:sectPr w:rsidR="005164DF" w:rsidRPr="00A857D5" w:rsidSect="00C20226">
      <w:headerReference w:type="default" r:id="rId7"/>
      <w:pgSz w:w="12240" w:h="15840" w:code="1"/>
      <w:pgMar w:top="864"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26" w:rsidRDefault="00C20226">
      <w:r>
        <w:separator/>
      </w:r>
    </w:p>
  </w:endnote>
  <w:endnote w:type="continuationSeparator" w:id="0">
    <w:p w:rsidR="00C20226" w:rsidRDefault="00C2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26" w:rsidRDefault="00C20226">
      <w:r>
        <w:separator/>
      </w:r>
    </w:p>
  </w:footnote>
  <w:footnote w:type="continuationSeparator" w:id="0">
    <w:p w:rsidR="00C20226" w:rsidRDefault="00C20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26" w:rsidRDefault="00C20226">
    <w:pPr>
      <w:pStyle w:val="Header"/>
      <w:jc w:val="center"/>
    </w:pPr>
    <w:r>
      <w:t xml:space="preserve">Page </w:t>
    </w:r>
    <w:sdt>
      <w:sdtPr>
        <w:id w:val="23016029"/>
        <w:docPartObj>
          <w:docPartGallery w:val="Page Numbers (Top of Page)"/>
          <w:docPartUnique/>
        </w:docPartObj>
      </w:sdtPr>
      <w:sdtContent>
        <w:fldSimple w:instr=" PAGE   \* MERGEFORMAT ">
          <w:r w:rsidR="00776A82">
            <w:rPr>
              <w:noProof/>
            </w:rPr>
            <w:t>2</w:t>
          </w:r>
        </w:fldSimple>
      </w:sdtContent>
    </w:sdt>
  </w:p>
  <w:p w:rsidR="00C20226" w:rsidRDefault="00C20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B0298"/>
    <w:rsid w:val="00092A89"/>
    <w:rsid w:val="000E0B26"/>
    <w:rsid w:val="00110BF4"/>
    <w:rsid w:val="00131F5D"/>
    <w:rsid w:val="0014052A"/>
    <w:rsid w:val="00183652"/>
    <w:rsid w:val="001D20DD"/>
    <w:rsid w:val="001E5B29"/>
    <w:rsid w:val="001E6A70"/>
    <w:rsid w:val="00210D51"/>
    <w:rsid w:val="00217513"/>
    <w:rsid w:val="0023373E"/>
    <w:rsid w:val="002C084F"/>
    <w:rsid w:val="002D032D"/>
    <w:rsid w:val="00300226"/>
    <w:rsid w:val="00341A2F"/>
    <w:rsid w:val="00380C1C"/>
    <w:rsid w:val="003F4392"/>
    <w:rsid w:val="00450A9C"/>
    <w:rsid w:val="004B0298"/>
    <w:rsid w:val="005164DF"/>
    <w:rsid w:val="0055202C"/>
    <w:rsid w:val="005D65F0"/>
    <w:rsid w:val="005F600C"/>
    <w:rsid w:val="0066464A"/>
    <w:rsid w:val="0069387D"/>
    <w:rsid w:val="006C3EB3"/>
    <w:rsid w:val="00753BDE"/>
    <w:rsid w:val="00776A82"/>
    <w:rsid w:val="007C6F58"/>
    <w:rsid w:val="007E3EEA"/>
    <w:rsid w:val="008007AD"/>
    <w:rsid w:val="00817D8C"/>
    <w:rsid w:val="008760D9"/>
    <w:rsid w:val="008B7632"/>
    <w:rsid w:val="008E34D9"/>
    <w:rsid w:val="008E5563"/>
    <w:rsid w:val="00933C53"/>
    <w:rsid w:val="00995980"/>
    <w:rsid w:val="009C4FD2"/>
    <w:rsid w:val="00A857D5"/>
    <w:rsid w:val="00B24B33"/>
    <w:rsid w:val="00B90DE2"/>
    <w:rsid w:val="00BB6E0A"/>
    <w:rsid w:val="00BC7368"/>
    <w:rsid w:val="00C20226"/>
    <w:rsid w:val="00C35350"/>
    <w:rsid w:val="00C363AF"/>
    <w:rsid w:val="00C6334F"/>
    <w:rsid w:val="00C66871"/>
    <w:rsid w:val="00C816D9"/>
    <w:rsid w:val="00CA7314"/>
    <w:rsid w:val="00D50FD9"/>
    <w:rsid w:val="00DE0B0A"/>
    <w:rsid w:val="00DE2DAC"/>
    <w:rsid w:val="00E976D3"/>
    <w:rsid w:val="00EB67F6"/>
    <w:rsid w:val="00F13536"/>
    <w:rsid w:val="00FF6D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B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BDE"/>
    <w:pPr>
      <w:tabs>
        <w:tab w:val="center" w:pos="4320"/>
        <w:tab w:val="right" w:pos="8640"/>
      </w:tabs>
    </w:pPr>
  </w:style>
  <w:style w:type="paragraph" w:styleId="Footer">
    <w:name w:val="footer"/>
    <w:basedOn w:val="Normal"/>
    <w:rsid w:val="00753BDE"/>
    <w:pPr>
      <w:tabs>
        <w:tab w:val="center" w:pos="4320"/>
        <w:tab w:val="right" w:pos="8640"/>
      </w:tabs>
    </w:pPr>
  </w:style>
  <w:style w:type="character" w:customStyle="1" w:styleId="HeaderChar">
    <w:name w:val="Header Char"/>
    <w:basedOn w:val="DefaultParagraphFont"/>
    <w:link w:val="Header"/>
    <w:uiPriority w:val="99"/>
    <w:rsid w:val="006C3EB3"/>
    <w:rPr>
      <w:rFonts w:ascii="Arial" w:hAnsi="Arial"/>
      <w:sz w:val="24"/>
      <w:lang w:val="en-GB" w:eastAsia="en-US"/>
    </w:rPr>
  </w:style>
  <w:style w:type="paragraph" w:styleId="BalloonText">
    <w:name w:val="Balloon Text"/>
    <w:basedOn w:val="Normal"/>
    <w:link w:val="BalloonTextChar"/>
    <w:rsid w:val="006C3EB3"/>
    <w:rPr>
      <w:rFonts w:ascii="Tahoma" w:hAnsi="Tahoma" w:cs="Tahoma"/>
      <w:sz w:val="16"/>
      <w:szCs w:val="16"/>
    </w:rPr>
  </w:style>
  <w:style w:type="character" w:customStyle="1" w:styleId="BalloonTextChar">
    <w:name w:val="Balloon Text Char"/>
    <w:basedOn w:val="DefaultParagraphFont"/>
    <w:link w:val="BalloonText"/>
    <w:rsid w:val="006C3EB3"/>
    <w:rPr>
      <w:rFonts w:ascii="Tahoma" w:hAnsi="Tahoma" w:cs="Tahoma"/>
      <w:sz w:val="16"/>
      <w:szCs w:val="16"/>
      <w:lang w:val="en-GB" w:eastAsia="en-US"/>
    </w:rPr>
  </w:style>
  <w:style w:type="table" w:styleId="MediumShading1">
    <w:name w:val="Medium Shading 1"/>
    <w:basedOn w:val="TableNormal"/>
    <w:uiPriority w:val="63"/>
    <w:rsid w:val="00C20226"/>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0392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3</cp:revision>
  <dcterms:created xsi:type="dcterms:W3CDTF">2013-07-03T22:29:00Z</dcterms:created>
  <dcterms:modified xsi:type="dcterms:W3CDTF">2013-07-04T16:38:00Z</dcterms:modified>
</cp:coreProperties>
</file>